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TIDAK KEBERATAN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, beralamat di </w:t>
      </w:r>
      <w:r>
        <w:rPr>
          <w:highlight w:val="yellow"/>
        </w:rPr>
        <w:t>[Alamat]</w:t>
      </w:r>
      <w:r>
        <w:t xml:space="preserve">, menyatakan tidak keberatan atas </w:t>
      </w:r>
      <w:r>
        <w:rPr>
          <w:highlight w:val="yellow"/>
        </w:rPr>
        <w:t>[Kegiatan/pembangunan]</w:t>
      </w:r>
      <w:r>
        <w:t xml:space="preserve"> oleh </w:t>
      </w:r>
      <w:r>
        <w:rPr>
          <w:highlight w:val="yellow"/>
        </w:rPr>
        <w:t>[Pihak yang dibolehkan]</w:t>
      </w:r>
      <w:r>
        <w:t xml:space="preserve"> di </w:t>
      </w:r>
      <w:r>
        <w:rPr>
          <w:highlight w:val="yellow"/>
        </w:rPr>
        <w:t>[Lokasi]</w:t>
      </w:r>
      <w:r>
        <w:t>.</w:t>
      </w:r>
    </w:p>
    <w:p>
      <w:r>
        <w:t>Pernyataan ini diberikan tanpa paksaan dan dapat dicabut secara tertulis bila kegiatan berubah dari yang dijelaskan.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